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9520" w:type="dxa"/>
        <w:tblInd w:w="6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16"/>
        <w:gridCol w:w="47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2" w:hRule="exact"/>
        </w:trPr>
        <w:tc>
          <w:tcPr>
            <w:tcW w:w="4816" w:type="dxa"/>
          </w:tcPr>
          <w:p>
            <w:pPr>
              <w:spacing w:after="0" w:line="240" w:lineRule="auto"/>
              <w:jc w:val="center"/>
              <w:rPr>
                <w:rFonts w:ascii="Arial Narrow" w:hAnsi="Arial Narrow"/>
                <w:b/>
                <w:sz w:val="24"/>
                <w:szCs w:val="24"/>
              </w:rPr>
            </w:pPr>
            <w:bookmarkStart w:id="0" w:name="_GoBack"/>
            <w:bookmarkEnd w:id="0"/>
            <w:r>
              <w:rPr>
                <w:lang w:val="en-US"/>
              </w:rPr>
              <w:drawing>
                <wp:anchor distT="0" distB="0" distL="114300" distR="114300" simplePos="0" relativeHeight="251660288" behindDoc="0" locked="0" layoutInCell="1" allowOverlap="1">
                  <wp:simplePos x="0" y="0"/>
                  <wp:positionH relativeFrom="column">
                    <wp:posOffset>888365</wp:posOffset>
                  </wp:positionH>
                  <wp:positionV relativeFrom="margin">
                    <wp:posOffset>27305</wp:posOffset>
                  </wp:positionV>
                  <wp:extent cx="1042035" cy="1058545"/>
                  <wp:effectExtent l="0" t="0" r="5715" b="0"/>
                  <wp:wrapTight wrapText="bothSides">
                    <wp:wrapPolygon>
                      <wp:start x="7108" y="0"/>
                      <wp:lineTo x="4344" y="1166"/>
                      <wp:lineTo x="0" y="5053"/>
                      <wp:lineTo x="0" y="15160"/>
                      <wp:lineTo x="2369" y="18659"/>
                      <wp:lineTo x="2369" y="19047"/>
                      <wp:lineTo x="6713" y="21380"/>
                      <wp:lineTo x="7108" y="21380"/>
                      <wp:lineTo x="14216" y="21380"/>
                      <wp:lineTo x="15005" y="21380"/>
                      <wp:lineTo x="18954" y="19047"/>
                      <wp:lineTo x="18954" y="18659"/>
                      <wp:lineTo x="21324" y="15160"/>
                      <wp:lineTo x="21324" y="5053"/>
                      <wp:lineTo x="16980" y="1166"/>
                      <wp:lineTo x="14216" y="0"/>
                      <wp:lineTo x="7108" y="0"/>
                    </wp:wrapPolygon>
                  </wp:wrapTight>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noChangeArrowheads="1"/>
                          </pic:cNvPicPr>
                        </pic:nvPicPr>
                        <pic:blipFill>
                          <a:blip r:embed="rId7"/>
                          <a:stretch>
                            <a:fillRect/>
                          </a:stretch>
                        </pic:blipFill>
                        <pic:spPr>
                          <a:xfrm>
                            <a:off x="0" y="0"/>
                            <a:ext cx="1042035" cy="1058545"/>
                          </a:xfrm>
                          <a:prstGeom prst="rect">
                            <a:avLst/>
                          </a:prstGeom>
                        </pic:spPr>
                      </pic:pic>
                    </a:graphicData>
                  </a:graphic>
                </wp:anchor>
              </w:drawing>
            </w:r>
          </w:p>
          <w:p>
            <w:pPr>
              <w:spacing w:after="0" w:line="240" w:lineRule="auto"/>
              <w:jc w:val="center"/>
              <w:rPr>
                <w:rFonts w:ascii="Arial Narrow" w:hAnsi="Arial Narrow"/>
                <w:b/>
                <w:sz w:val="24"/>
                <w:szCs w:val="24"/>
              </w:rPr>
            </w:pPr>
          </w:p>
          <w:p>
            <w:pPr>
              <w:spacing w:after="0" w:line="240" w:lineRule="auto"/>
              <w:jc w:val="center"/>
              <w:rPr>
                <w:rFonts w:ascii="Arial Narrow" w:hAnsi="Arial Narrow"/>
                <w:b/>
                <w:sz w:val="24"/>
                <w:szCs w:val="24"/>
              </w:rPr>
            </w:pPr>
          </w:p>
          <w:p>
            <w:pPr>
              <w:spacing w:after="0" w:line="240" w:lineRule="auto"/>
              <w:jc w:val="center"/>
              <w:rPr>
                <w:rFonts w:ascii="Arial Narrow" w:hAnsi="Arial Narrow"/>
                <w:b/>
                <w:sz w:val="24"/>
                <w:szCs w:val="24"/>
              </w:rPr>
            </w:pPr>
          </w:p>
          <w:p>
            <w:pPr>
              <w:spacing w:after="0" w:line="240" w:lineRule="auto"/>
              <w:jc w:val="center"/>
              <w:rPr>
                <w:rFonts w:ascii="Arial Narrow" w:hAnsi="Arial Narrow"/>
                <w:b/>
                <w:sz w:val="24"/>
                <w:szCs w:val="24"/>
              </w:rPr>
            </w:pPr>
          </w:p>
          <w:p>
            <w:pPr>
              <w:spacing w:after="0" w:line="240" w:lineRule="auto"/>
              <w:jc w:val="center"/>
              <w:rPr>
                <w:rFonts w:ascii="Arial Narrow" w:hAnsi="Arial Narrow"/>
                <w:b/>
                <w:sz w:val="24"/>
                <w:szCs w:val="24"/>
              </w:rPr>
            </w:pPr>
          </w:p>
          <w:p>
            <w:pPr>
              <w:spacing w:after="0" w:line="240" w:lineRule="auto"/>
              <w:jc w:val="center"/>
              <w:rPr>
                <w:rFonts w:ascii="Arial Narrow" w:hAnsi="Arial Narrow"/>
                <w:b/>
                <w:sz w:val="24"/>
                <w:szCs w:val="24"/>
              </w:rPr>
            </w:pPr>
          </w:p>
          <w:p>
            <w:pPr>
              <w:spacing w:after="0" w:line="240" w:lineRule="auto"/>
              <w:jc w:val="center"/>
              <w:rPr>
                <w:rFonts w:ascii="Arial Narrow" w:hAnsi="Arial Narrow"/>
                <w:b/>
                <w:sz w:val="24"/>
                <w:szCs w:val="24"/>
              </w:rPr>
            </w:pPr>
          </w:p>
          <w:p>
            <w:pPr>
              <w:spacing w:after="0" w:line="240" w:lineRule="auto"/>
              <w:jc w:val="center"/>
              <w:rPr>
                <w:rFonts w:ascii="Arial Narrow" w:hAnsi="Arial Narrow"/>
                <w:b/>
                <w:sz w:val="24"/>
                <w:szCs w:val="24"/>
              </w:rPr>
            </w:pPr>
          </w:p>
          <w:p>
            <w:pPr>
              <w:spacing w:after="0" w:line="240" w:lineRule="auto"/>
              <w:jc w:val="center"/>
              <w:rPr>
                <w:rFonts w:ascii="Arial Narrow" w:hAnsi="Arial Narrow"/>
                <w:b/>
                <w:sz w:val="24"/>
                <w:szCs w:val="24"/>
              </w:rPr>
            </w:pPr>
          </w:p>
          <w:p>
            <w:pPr>
              <w:spacing w:after="0" w:line="240" w:lineRule="auto"/>
              <w:jc w:val="center"/>
              <w:rPr>
                <w:rFonts w:ascii="Arial Narrow" w:hAnsi="Arial Narrow"/>
                <w:b/>
                <w:sz w:val="24"/>
                <w:szCs w:val="24"/>
              </w:rPr>
            </w:pPr>
          </w:p>
          <w:p>
            <w:pPr>
              <w:spacing w:after="0" w:line="240" w:lineRule="auto"/>
              <w:jc w:val="center"/>
              <w:rPr>
                <w:rFonts w:ascii="Arial Narrow" w:hAnsi="Arial Narrow"/>
                <w:b/>
                <w:sz w:val="24"/>
                <w:szCs w:val="24"/>
              </w:rPr>
            </w:pPr>
          </w:p>
          <w:p>
            <w:pPr>
              <w:spacing w:after="0" w:line="240" w:lineRule="auto"/>
              <w:jc w:val="center"/>
              <w:rPr>
                <w:rFonts w:ascii="Arial Narrow" w:hAnsi="Arial Narrow"/>
                <w:b/>
                <w:sz w:val="24"/>
                <w:szCs w:val="24"/>
              </w:rPr>
            </w:pPr>
          </w:p>
        </w:tc>
        <w:tc>
          <w:tcPr>
            <w:tcW w:w="4704" w:type="dxa"/>
          </w:tcPr>
          <w:p>
            <w:pPr>
              <w:spacing w:after="0" w:line="240" w:lineRule="auto"/>
              <w:ind w:left="1100" w:leftChars="500" w:right="854" w:rightChars="388" w:firstLine="218"/>
              <w:rPr>
                <w:rFonts w:ascii="Arial Narrow" w:hAnsi="Arial Narrow"/>
                <w:b/>
                <w:sz w:val="24"/>
                <w:szCs w:val="24"/>
              </w:rPr>
            </w:pPr>
            <w:r>
              <w:rPr>
                <w:rFonts w:ascii="Arial Narrow" w:hAnsi="Arial Narrow"/>
                <w:b/>
                <w:sz w:val="24"/>
                <w:szCs w:val="24"/>
                <w:lang w:val="en-US"/>
              </w:rPr>
              <w:drawing>
                <wp:inline distT="0" distB="0" distL="114300" distR="114300">
                  <wp:extent cx="1094740" cy="1097915"/>
                  <wp:effectExtent l="0" t="0" r="10160" b="6985"/>
                  <wp:docPr id="2" name="Picture 17" descr="Sigla M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7" descr="Sigla MJ"/>
                          <pic:cNvPicPr>
                            <a:picLocks noChangeAspect="1"/>
                          </pic:cNvPicPr>
                        </pic:nvPicPr>
                        <pic:blipFill>
                          <a:blip r:embed="rId8"/>
                          <a:stretch>
                            <a:fillRect/>
                          </a:stretch>
                        </pic:blipFill>
                        <pic:spPr>
                          <a:xfrm>
                            <a:off x="0" y="0"/>
                            <a:ext cx="1094740" cy="1097915"/>
                          </a:xfrm>
                          <a:prstGeom prst="rect">
                            <a:avLst/>
                          </a:prstGeom>
                          <a:noFill/>
                          <a:ln w="9525">
                            <a:noFill/>
                          </a:ln>
                        </pic:spPr>
                      </pic:pic>
                    </a:graphicData>
                  </a:graphic>
                </wp:inline>
              </w:drawing>
            </w:r>
          </w:p>
          <w:p>
            <w:pPr>
              <w:spacing w:after="0" w:line="240" w:lineRule="auto"/>
              <w:ind w:firstLine="1539" w:firstLineChars="641"/>
              <w:rPr>
                <w:rFonts w:ascii="Arial Narrow" w:hAnsi="Arial Narrow"/>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1" w:hRule="atLeast"/>
        </w:trPr>
        <w:tc>
          <w:tcPr>
            <w:tcW w:w="4816" w:type="dxa"/>
          </w:tcPr>
          <w:p>
            <w:pPr>
              <w:spacing w:after="0" w:line="240" w:lineRule="auto"/>
              <w:jc w:val="center"/>
              <w:rPr>
                <w:b/>
                <w:sz w:val="24"/>
                <w:szCs w:val="24"/>
              </w:rPr>
            </w:pPr>
            <w:r>
              <w:rPr>
                <w:b/>
                <w:sz w:val="24"/>
                <w:szCs w:val="24"/>
              </w:rPr>
              <w:t>MINISTERUL FINANȚELOR</w:t>
            </w:r>
          </w:p>
          <w:p>
            <w:pPr>
              <w:spacing w:after="0" w:line="240" w:lineRule="auto"/>
              <w:jc w:val="center"/>
              <w:rPr>
                <w:b/>
                <w:sz w:val="24"/>
                <w:szCs w:val="24"/>
              </w:rPr>
            </w:pPr>
            <w:r>
              <w:rPr>
                <w:b/>
                <w:sz w:val="24"/>
                <w:szCs w:val="24"/>
              </w:rPr>
              <w:t>Agenția Națională de Administrare Fiscală</w:t>
            </w:r>
          </w:p>
          <w:p>
            <w:pPr>
              <w:spacing w:after="0" w:line="240" w:lineRule="auto"/>
              <w:ind w:firstLine="660" w:firstLineChars="275"/>
              <w:jc w:val="both"/>
              <w:rPr>
                <w:b/>
                <w:sz w:val="24"/>
                <w:szCs w:val="24"/>
              </w:rPr>
            </w:pPr>
            <w:r>
              <w:rPr>
                <w:b/>
                <w:sz w:val="24"/>
                <w:szCs w:val="24"/>
              </w:rPr>
              <w:t xml:space="preserve">Nr. </w:t>
            </w:r>
          </w:p>
        </w:tc>
        <w:tc>
          <w:tcPr>
            <w:tcW w:w="4704" w:type="dxa"/>
          </w:tcPr>
          <w:p>
            <w:pPr>
              <w:spacing w:after="0" w:line="240" w:lineRule="auto"/>
              <w:ind w:firstLine="960" w:firstLineChars="400"/>
              <w:jc w:val="both"/>
              <w:rPr>
                <w:b/>
                <w:sz w:val="24"/>
                <w:szCs w:val="24"/>
              </w:rPr>
            </w:pPr>
            <w:r>
              <w:rPr>
                <w:b/>
                <w:sz w:val="24"/>
                <w:szCs w:val="24"/>
              </w:rPr>
              <w:t>MINISTERUL JUSTIȚIEI</w:t>
            </w:r>
          </w:p>
          <w:p>
            <w:pPr>
              <w:spacing w:after="0" w:line="240" w:lineRule="auto"/>
              <w:ind w:firstLine="1201" w:firstLineChars="500"/>
              <w:jc w:val="both"/>
              <w:rPr>
                <w:b/>
                <w:sz w:val="24"/>
                <w:szCs w:val="24"/>
              </w:rPr>
            </w:pPr>
          </w:p>
          <w:p>
            <w:pPr>
              <w:spacing w:after="0" w:line="240" w:lineRule="auto"/>
              <w:ind w:firstLine="600" w:firstLineChars="250"/>
              <w:jc w:val="both"/>
              <w:rPr>
                <w:rFonts w:ascii="Arial" w:hAnsi="Arial" w:cs="Arial"/>
                <w:b/>
                <w:sz w:val="24"/>
                <w:szCs w:val="24"/>
              </w:rPr>
            </w:pPr>
            <w:r>
              <w:rPr>
                <w:b/>
                <w:color w:val="000000" w:themeColor="text1"/>
                <w:sz w:val="24"/>
                <w:szCs w:val="24"/>
                <w14:textFill>
                  <w14:solidFill>
                    <w14:schemeClr w14:val="tx1"/>
                  </w14:solidFill>
                </w14:textFill>
              </w:rPr>
              <w:t>Nr.</w:t>
            </w:r>
          </w:p>
        </w:tc>
      </w:tr>
    </w:tbl>
    <w:p>
      <w:pPr>
        <w:spacing w:after="0" w:line="240" w:lineRule="auto"/>
        <w:jc w:val="both"/>
        <w:rPr>
          <w:rFonts w:ascii="Arial" w:hAnsi="Arial" w:cs="Arial"/>
          <w:b/>
          <w:sz w:val="24"/>
          <w:szCs w:val="24"/>
        </w:rPr>
      </w:pPr>
    </w:p>
    <w:p>
      <w:pPr>
        <w:pStyle w:val="13"/>
        <w:spacing w:before="0" w:beforeAutospacing="0" w:after="0" w:line="240" w:lineRule="auto"/>
        <w:jc w:val="center"/>
        <w:rPr>
          <w:b/>
          <w:bCs/>
          <w:sz w:val="24"/>
          <w:szCs w:val="24"/>
        </w:rPr>
      </w:pPr>
    </w:p>
    <w:p>
      <w:pPr>
        <w:pStyle w:val="13"/>
        <w:spacing w:before="0" w:beforeAutospacing="0" w:after="0" w:line="240" w:lineRule="auto"/>
        <w:jc w:val="center"/>
        <w:rPr>
          <w:b/>
          <w:bCs/>
          <w:sz w:val="24"/>
          <w:szCs w:val="24"/>
        </w:rPr>
      </w:pPr>
      <w:r>
        <w:rPr>
          <w:b/>
          <w:bCs/>
          <w:sz w:val="24"/>
          <w:szCs w:val="24"/>
        </w:rPr>
        <w:t xml:space="preserve">ORDIN </w:t>
      </w:r>
    </w:p>
    <w:p>
      <w:pPr>
        <w:pStyle w:val="13"/>
        <w:spacing w:before="0" w:beforeAutospacing="0" w:after="0" w:line="240" w:lineRule="auto"/>
        <w:jc w:val="center"/>
        <w:rPr>
          <w:b/>
          <w:bCs/>
          <w:sz w:val="24"/>
          <w:szCs w:val="24"/>
        </w:rPr>
      </w:pPr>
      <w:r>
        <w:rPr>
          <w:b/>
          <w:bCs/>
          <w:sz w:val="24"/>
          <w:szCs w:val="24"/>
        </w:rPr>
        <w:t>pentru modificarea și completarea Ordinului preşedintelui Agenţiei Naţionale de Administrare Fiscală şi al ministrului justiţiei nr.2509/5672/C/2022 pentru aprobarea modelului și conținutului formularului “Cerere de înregistrare fiscală” și a instrucțiunilor de completare a formularului “Cerere de înregistrare fiscală”</w:t>
      </w:r>
    </w:p>
    <w:p>
      <w:pPr>
        <w:pStyle w:val="13"/>
        <w:spacing w:before="0" w:beforeAutospacing="0" w:after="0" w:line="240" w:lineRule="auto"/>
        <w:jc w:val="both"/>
        <w:rPr>
          <w:b/>
          <w:bCs/>
          <w:sz w:val="24"/>
          <w:szCs w:val="24"/>
        </w:rPr>
      </w:pPr>
    </w:p>
    <w:p>
      <w:pPr>
        <w:tabs>
          <w:tab w:val="left" w:pos="1260"/>
        </w:tabs>
        <w:spacing w:line="240" w:lineRule="auto"/>
        <w:ind w:firstLine="720"/>
        <w:jc w:val="both"/>
        <w:rPr>
          <w:sz w:val="24"/>
          <w:szCs w:val="24"/>
        </w:rPr>
      </w:pPr>
      <w:r>
        <w:rPr>
          <w:sz w:val="24"/>
          <w:szCs w:val="24"/>
        </w:rPr>
        <w:t>Având în vedere dispozițiile art.3 alin.(1) lit.h), art.110 alin.(1), art.125 și</w:t>
      </w:r>
      <w:r>
        <w:rPr>
          <w:color w:val="000000" w:themeColor="text1"/>
          <w:sz w:val="24"/>
          <w:szCs w:val="24"/>
          <w14:textFill>
            <w14:solidFill>
              <w14:schemeClr w14:val="tx1"/>
            </w14:solidFill>
          </w14:textFill>
        </w:rPr>
        <w:t xml:space="preserve"> ale </w:t>
      </w:r>
      <w:r>
        <w:rPr>
          <w:sz w:val="24"/>
          <w:szCs w:val="24"/>
        </w:rPr>
        <w:t xml:space="preserve">art.126 alin.(1) din Legea nr.265/2022 privind registrul comerțului și pentru modificarea și completarea altor acte normative cu incidență asupra înregistrării în registrul comerțului, cu modificările și completările ulterioare, ale art.316 din Legea nr.227/2015 privind Codul fiscal, cu modificările şi completările ulterioare </w:t>
      </w:r>
      <w:r>
        <w:rPr>
          <w:color w:val="000000"/>
          <w:sz w:val="24"/>
          <w:szCs w:val="24"/>
        </w:rPr>
        <w:t xml:space="preserve">ale </w:t>
      </w:r>
      <w:r>
        <w:rPr>
          <w:sz w:val="24"/>
          <w:szCs w:val="24"/>
        </w:rPr>
        <w:t xml:space="preserve">art.342 alin.(1), </w:t>
      </w:r>
      <w:r>
        <w:rPr>
          <w:bCs/>
          <w:sz w:val="24"/>
          <w:szCs w:val="24"/>
        </w:rPr>
        <w:t xml:space="preserve">(4) și (5) </w:t>
      </w:r>
      <w:r>
        <w:rPr>
          <w:sz w:val="24"/>
          <w:szCs w:val="24"/>
        </w:rPr>
        <w:t>din Legea nr.207/2015 privind Codul de procedură fiscală, cu modificările și completările ulterioare, precum și avizul conform al Ministerului Finanțelor comunicat prin Adresa nr.                . din                  ,</w:t>
      </w:r>
    </w:p>
    <w:p>
      <w:pPr>
        <w:tabs>
          <w:tab w:val="left" w:pos="1260"/>
        </w:tabs>
        <w:spacing w:line="240" w:lineRule="auto"/>
        <w:ind w:firstLine="720"/>
        <w:jc w:val="both"/>
        <w:rPr>
          <w:sz w:val="24"/>
          <w:szCs w:val="24"/>
        </w:rPr>
      </w:pPr>
      <w:r>
        <w:rPr>
          <w:sz w:val="24"/>
          <w:szCs w:val="24"/>
        </w:rPr>
        <w:t xml:space="preserve"> în temeiul prevederilor art.78 alin.(3) din Legea nr.265/2022, cu modificările și completările ulterioare, art.11 alin.(3) din Hotărârea Guvernului nr.520/2013 privind organizarea și funcționarea Agenției Naționale de Administrare Fiscală, cu modificările și completările ulterioare, precum și ale art.13 din Hotărârea Guvernului nr. 592/2024 privind organizarea și funcționarea Ministerului Justiției, cu modificările ulterioare,</w:t>
      </w:r>
    </w:p>
    <w:p>
      <w:pPr>
        <w:tabs>
          <w:tab w:val="left" w:pos="1260"/>
        </w:tabs>
        <w:spacing w:line="240" w:lineRule="auto"/>
        <w:ind w:firstLine="720"/>
        <w:jc w:val="both"/>
        <w:rPr>
          <w:sz w:val="24"/>
          <w:szCs w:val="24"/>
        </w:rPr>
      </w:pPr>
      <w:r>
        <w:rPr>
          <w:b/>
          <w:bCs/>
          <w:sz w:val="24"/>
          <w:szCs w:val="24"/>
        </w:rPr>
        <w:t xml:space="preserve">președintele Agenției Naționale de Administrare Fiscală și ministrul justiției </w:t>
      </w:r>
      <w:r>
        <w:rPr>
          <w:sz w:val="24"/>
          <w:szCs w:val="24"/>
        </w:rPr>
        <w:t xml:space="preserve">emit următorul </w:t>
      </w:r>
    </w:p>
    <w:p>
      <w:pPr>
        <w:pStyle w:val="13"/>
        <w:spacing w:before="0" w:beforeAutospacing="0" w:after="0" w:line="240" w:lineRule="auto"/>
        <w:jc w:val="center"/>
        <w:rPr>
          <w:b/>
          <w:bCs/>
          <w:color w:val="000000"/>
          <w:sz w:val="24"/>
          <w:szCs w:val="24"/>
        </w:rPr>
      </w:pPr>
      <w:r>
        <w:rPr>
          <w:b/>
          <w:bCs/>
          <w:color w:val="000000"/>
          <w:sz w:val="24"/>
          <w:szCs w:val="24"/>
        </w:rPr>
        <w:t>O R D I N</w:t>
      </w:r>
    </w:p>
    <w:p>
      <w:pPr>
        <w:pStyle w:val="13"/>
        <w:spacing w:before="0" w:beforeAutospacing="0" w:after="0" w:line="240" w:lineRule="auto"/>
        <w:jc w:val="both"/>
        <w:rPr>
          <w:sz w:val="24"/>
          <w:szCs w:val="24"/>
          <w:highlight w:val="yellow"/>
        </w:rPr>
      </w:pPr>
    </w:p>
    <w:p>
      <w:pPr>
        <w:spacing w:after="0" w:line="240" w:lineRule="auto"/>
        <w:ind w:firstLine="706"/>
        <w:jc w:val="both"/>
        <w:rPr>
          <w:sz w:val="24"/>
          <w:szCs w:val="24"/>
        </w:rPr>
      </w:pPr>
      <w:r>
        <w:rPr>
          <w:b/>
          <w:bCs/>
          <w:sz w:val="24"/>
          <w:szCs w:val="24"/>
        </w:rPr>
        <w:t>ART. I</w:t>
      </w:r>
      <w:r>
        <w:rPr>
          <w:sz w:val="24"/>
          <w:szCs w:val="24"/>
        </w:rPr>
        <w:t xml:space="preserve"> - Ordinul preşedintelui Agenţiei Naţionale de Administrare Fiscală şi al ministrului justiţiei nr.2509/5672/C/2022 pentru aprobarea modelului și conținutului formularului “Cerere de înregistrare fiscală” și a instrucțiunilor de completare a formularului “Cerere de înregistrare fiscală”, publicat în Monitorul Oficial al României, Partea I, nr.58 din 20 ianuarie 2023, se modifică și se completează după cum urmează:</w:t>
      </w:r>
    </w:p>
    <w:p>
      <w:pPr>
        <w:numPr>
          <w:ilvl w:val="0"/>
          <w:numId w:val="1"/>
        </w:numPr>
        <w:spacing w:after="0" w:line="240" w:lineRule="auto"/>
        <w:ind w:firstLine="708"/>
        <w:jc w:val="both"/>
        <w:rPr>
          <w:sz w:val="24"/>
          <w:szCs w:val="24"/>
        </w:rPr>
      </w:pPr>
      <w:r>
        <w:rPr>
          <w:sz w:val="24"/>
          <w:szCs w:val="24"/>
        </w:rPr>
        <w:t>Anexa nr.1 se modifică şi se înlocuieşte cu anexa care face parte integrantă din prezentul ordin.</w:t>
      </w:r>
    </w:p>
    <w:p>
      <w:pPr>
        <w:numPr>
          <w:ilvl w:val="255"/>
          <w:numId w:val="0"/>
        </w:numPr>
        <w:spacing w:after="0" w:line="240" w:lineRule="auto"/>
        <w:jc w:val="both"/>
        <w:rPr>
          <w:sz w:val="24"/>
          <w:szCs w:val="24"/>
        </w:rPr>
      </w:pPr>
    </w:p>
    <w:p>
      <w:pPr>
        <w:numPr>
          <w:ilvl w:val="0"/>
          <w:numId w:val="1"/>
        </w:numPr>
        <w:spacing w:after="0" w:line="240" w:lineRule="auto"/>
        <w:ind w:firstLine="708"/>
        <w:jc w:val="both"/>
        <w:rPr>
          <w:sz w:val="24"/>
          <w:szCs w:val="24"/>
        </w:rPr>
      </w:pPr>
      <w:r>
        <w:rPr>
          <w:sz w:val="24"/>
          <w:szCs w:val="24"/>
        </w:rPr>
        <w:t>La anexa nr.2, instrucțiunile de completare a formularului „Cerere de înregistrare fiscală” se modifică și se completează, după cum urmează:</w:t>
      </w:r>
    </w:p>
    <w:p>
      <w:pPr>
        <w:spacing w:after="0" w:line="240" w:lineRule="auto"/>
        <w:ind w:firstLine="706"/>
        <w:jc w:val="both"/>
        <w:rPr>
          <w:sz w:val="24"/>
          <w:szCs w:val="24"/>
        </w:rPr>
      </w:pPr>
      <w:r>
        <w:rPr>
          <w:sz w:val="24"/>
          <w:szCs w:val="24"/>
        </w:rPr>
        <w:t>2.1. Rândul 4.1. se modifică și va avea următorul cuprins:</w:t>
      </w:r>
    </w:p>
    <w:p>
      <w:pPr>
        <w:numPr>
          <w:ilvl w:val="255"/>
          <w:numId w:val="0"/>
        </w:numPr>
        <w:spacing w:after="0" w:line="240" w:lineRule="auto"/>
        <w:ind w:firstLine="708"/>
        <w:jc w:val="both"/>
        <w:rPr>
          <w:sz w:val="24"/>
          <w:szCs w:val="24"/>
        </w:rPr>
      </w:pPr>
      <w:r>
        <w:rPr>
          <w:sz w:val="24"/>
          <w:szCs w:val="24"/>
        </w:rPr>
        <w:t>„Rândul 4.1. Se estimează cifra de afaceri pe care contribuabilul preconizează să o realizeze în perioada rămasă până la sfârşitul anului calendaristic, constituită din valoarea totală a livrărilor de bunuri şi a prestărilor de servicii efectuate de persoana impozabilă în cursul unui an calendaristic, taxabile sau, după caz, care ar fi taxabile dacă nu ar fi desfăşurate de o mică întreprindere, a operaţiunilor scutite cu drept de deducere şi, dacă nu sunt accesorii activităţii principale, a operaţiunilor scutite fără drept de deducere prevăzute la art.292 alin.(2) lit.a), b), e) şi f)</w:t>
      </w:r>
      <w:r>
        <w:t xml:space="preserve"> </w:t>
      </w:r>
      <w:r>
        <w:rPr>
          <w:sz w:val="24"/>
          <w:szCs w:val="24"/>
        </w:rPr>
        <w:t>din Codul fiscal, cu locul în România.</w:t>
      </w:r>
    </w:p>
    <w:p>
      <w:pPr>
        <w:spacing w:after="0" w:line="240" w:lineRule="auto"/>
        <w:ind w:firstLine="706"/>
        <w:jc w:val="both"/>
        <w:rPr>
          <w:sz w:val="24"/>
          <w:szCs w:val="24"/>
        </w:rPr>
      </w:pPr>
      <w:r>
        <w:rPr>
          <w:sz w:val="24"/>
          <w:szCs w:val="24"/>
        </w:rPr>
        <w:t xml:space="preserve"> Prin excepţie, nu se cuprind în cifra de afaceri prevăzută la paragraful 1, livrările de active fixe corporale, astfel cum sunt definite la art.266 alin.(1) pct.3</w:t>
      </w:r>
      <w:r>
        <w:t xml:space="preserve"> </w:t>
      </w:r>
      <w:r>
        <w:rPr>
          <w:sz w:val="24"/>
          <w:szCs w:val="24"/>
        </w:rPr>
        <w:t>din Codul fiscal, şi cesiunea/transferul  de active necorporale, efectuate de persoana impozabilă.”</w:t>
      </w:r>
    </w:p>
    <w:p>
      <w:pPr>
        <w:spacing w:after="0" w:line="240" w:lineRule="auto"/>
        <w:ind w:firstLine="706"/>
        <w:jc w:val="both"/>
        <w:rPr>
          <w:sz w:val="24"/>
          <w:szCs w:val="24"/>
        </w:rPr>
      </w:pPr>
    </w:p>
    <w:p>
      <w:pPr>
        <w:spacing w:after="0" w:line="240" w:lineRule="auto"/>
        <w:ind w:firstLine="706"/>
        <w:jc w:val="both"/>
        <w:rPr>
          <w:sz w:val="24"/>
          <w:szCs w:val="24"/>
        </w:rPr>
      </w:pPr>
      <w:r>
        <w:rPr>
          <w:sz w:val="24"/>
          <w:szCs w:val="24"/>
        </w:rPr>
        <w:t>2.2. Rândul 4.2. se modifică și va avea următorul cuprins:</w:t>
      </w:r>
    </w:p>
    <w:p>
      <w:pPr>
        <w:spacing w:after="0" w:line="240" w:lineRule="auto"/>
        <w:ind w:firstLine="706"/>
        <w:jc w:val="both"/>
        <w:rPr>
          <w:sz w:val="24"/>
          <w:szCs w:val="24"/>
        </w:rPr>
      </w:pPr>
      <w:r>
        <w:rPr>
          <w:sz w:val="24"/>
          <w:szCs w:val="24"/>
        </w:rPr>
        <w:t>”Rândul 4.2 se marchează cu "X" în cazul contribuabililor care optează pentru aplicarea regimului normal de TVA, estimând o cifră de afaceri mai mare cu plafonul de scutire prevăzut la art. 310 alin. (1) din Codul fiscal.”</w:t>
      </w:r>
    </w:p>
    <w:p>
      <w:pPr>
        <w:spacing w:after="0" w:line="240" w:lineRule="auto"/>
        <w:ind w:firstLine="706"/>
        <w:jc w:val="both"/>
        <w:rPr>
          <w:sz w:val="24"/>
          <w:szCs w:val="24"/>
          <w:lang w:val="en-US"/>
        </w:rPr>
      </w:pPr>
    </w:p>
    <w:p>
      <w:pPr>
        <w:spacing w:after="0" w:line="240" w:lineRule="auto"/>
        <w:ind w:firstLine="706"/>
        <w:jc w:val="both"/>
        <w:rPr>
          <w:sz w:val="24"/>
          <w:szCs w:val="24"/>
        </w:rPr>
      </w:pPr>
      <w:r>
        <w:rPr>
          <w:sz w:val="24"/>
          <w:szCs w:val="24"/>
        </w:rPr>
        <w:t>2.3. După rândul 4.4., se introduce un nou rând, rândul 4.5., cu următorul cuprins:</w:t>
      </w:r>
    </w:p>
    <w:p>
      <w:pPr>
        <w:spacing w:after="0" w:line="240" w:lineRule="auto"/>
        <w:ind w:firstLine="706"/>
        <w:jc w:val="both"/>
        <w:rPr>
          <w:sz w:val="24"/>
          <w:szCs w:val="24"/>
        </w:rPr>
      </w:pPr>
      <w:r>
        <w:rPr>
          <w:sz w:val="24"/>
          <w:szCs w:val="24"/>
        </w:rPr>
        <w:t>„Rândul 4.5. se marchează cu ”X” în căsuța corespunzătoare, de către persoanele impozabile care optează să aplice sistemul TVA la încasare, potrivit prevederilor legale, începând cu data înregistrării în scopuri de TVA și care îndeplinește cumulativ următoarele condiții:</w:t>
      </w:r>
    </w:p>
    <w:p>
      <w:pPr>
        <w:spacing w:after="0" w:line="240" w:lineRule="auto"/>
        <w:ind w:firstLine="706"/>
        <w:jc w:val="both"/>
        <w:rPr>
          <w:sz w:val="24"/>
          <w:szCs w:val="24"/>
        </w:rPr>
      </w:pPr>
      <w:r>
        <w:rPr>
          <w:sz w:val="24"/>
          <w:szCs w:val="24"/>
        </w:rPr>
        <w:t>- este stabilită în România;</w:t>
      </w:r>
    </w:p>
    <w:p>
      <w:pPr>
        <w:spacing w:after="0" w:line="240" w:lineRule="auto"/>
        <w:ind w:firstLine="706"/>
        <w:jc w:val="both"/>
        <w:rPr>
          <w:sz w:val="24"/>
          <w:szCs w:val="24"/>
        </w:rPr>
      </w:pPr>
      <w:r>
        <w:rPr>
          <w:sz w:val="24"/>
          <w:szCs w:val="24"/>
        </w:rPr>
        <w:t>- cifra de afaceri estimată nu depăşeşte plafonul prevăzut de art.282 din Codul fiscal.</w:t>
      </w:r>
    </w:p>
    <w:p>
      <w:pPr>
        <w:spacing w:after="0" w:line="240" w:lineRule="auto"/>
        <w:ind w:firstLine="706"/>
        <w:jc w:val="both"/>
        <w:rPr>
          <w:sz w:val="24"/>
          <w:szCs w:val="24"/>
        </w:rPr>
      </w:pPr>
      <w:r>
        <w:rPr>
          <w:sz w:val="24"/>
          <w:szCs w:val="24"/>
        </w:rPr>
        <w:t>În vederea aplicării sistemului TVA la încasare, rândul nu se bifează de către persoanele impozabile care nu sunt eligibile pentru aplicarea sistemului TVA la încasare, astfel cum sunt menționate la art.282 alin.(4) din Codul fiscal.</w:t>
      </w:r>
    </w:p>
    <w:p>
      <w:pPr>
        <w:spacing w:after="0" w:line="240" w:lineRule="auto"/>
        <w:ind w:firstLine="706"/>
        <w:jc w:val="both"/>
        <w:rPr>
          <w:sz w:val="24"/>
          <w:szCs w:val="24"/>
        </w:rPr>
      </w:pPr>
      <w:r>
        <w:rPr>
          <w:sz w:val="24"/>
          <w:szCs w:val="24"/>
        </w:rPr>
        <w:t>Sistemul TVA la încasare se aplică de către persoanele impozabile înregistrate în scopuri de TVA, conform art.316 din Codul fiscal care optează pentru aplicarea sistemului TVA la încasare, în condițiile prevăzute de art.282 și de art.324 alin.(12) din Codul fiscal.”</w:t>
      </w:r>
    </w:p>
    <w:p>
      <w:pPr>
        <w:spacing w:after="0" w:line="240" w:lineRule="auto"/>
        <w:ind w:firstLine="706"/>
        <w:jc w:val="both"/>
        <w:rPr>
          <w:sz w:val="24"/>
          <w:szCs w:val="24"/>
        </w:rPr>
      </w:pPr>
    </w:p>
    <w:p>
      <w:pPr>
        <w:spacing w:after="0" w:line="240" w:lineRule="auto"/>
        <w:ind w:firstLine="706"/>
        <w:jc w:val="both"/>
        <w:rPr>
          <w:sz w:val="24"/>
          <w:szCs w:val="24"/>
        </w:rPr>
      </w:pPr>
      <w:r>
        <w:rPr>
          <w:sz w:val="24"/>
          <w:szCs w:val="24"/>
        </w:rPr>
        <w:t>2.4. Rândul „Atenție!” se modifică și va avea următorul cuprins:</w:t>
      </w:r>
    </w:p>
    <w:p>
      <w:pPr>
        <w:spacing w:after="0" w:line="240" w:lineRule="auto"/>
        <w:ind w:firstLine="706"/>
        <w:jc w:val="both"/>
        <w:rPr>
          <w:sz w:val="24"/>
          <w:szCs w:val="24"/>
        </w:rPr>
      </w:pPr>
      <w:r>
        <w:rPr>
          <w:sz w:val="24"/>
          <w:szCs w:val="24"/>
        </w:rPr>
        <w:t>„Atenție! Înregistrarea în scopuri de TVA se consideră valabilă, potrivit reglementărilor legale în materie, începând cu data înregistrării persoanei impozabile în registrul comerțului.”</w:t>
      </w:r>
    </w:p>
    <w:p>
      <w:pPr>
        <w:spacing w:after="0" w:line="240" w:lineRule="auto"/>
        <w:ind w:firstLine="706"/>
        <w:jc w:val="both"/>
        <w:rPr>
          <w:sz w:val="24"/>
          <w:szCs w:val="24"/>
        </w:rPr>
      </w:pPr>
    </w:p>
    <w:p>
      <w:pPr>
        <w:spacing w:after="0" w:line="240" w:lineRule="auto"/>
        <w:ind w:firstLine="706"/>
        <w:jc w:val="both"/>
        <w:rPr>
          <w:sz w:val="24"/>
          <w:szCs w:val="24"/>
        </w:rPr>
      </w:pPr>
      <w:r>
        <w:rPr>
          <w:b/>
          <w:bCs/>
          <w:sz w:val="24"/>
          <w:szCs w:val="24"/>
        </w:rPr>
        <w:t>ART. II.</w:t>
      </w:r>
      <w:r>
        <w:rPr>
          <w:sz w:val="24"/>
          <w:szCs w:val="24"/>
        </w:rPr>
        <w:t xml:space="preserve"> - Prezentul ordin se publică în Monitorul Oficial al României, Partea I.</w:t>
      </w:r>
    </w:p>
    <w:p>
      <w:pPr>
        <w:spacing w:after="0" w:line="240" w:lineRule="auto"/>
        <w:ind w:firstLine="706"/>
        <w:jc w:val="both"/>
        <w:rPr>
          <w:sz w:val="24"/>
          <w:szCs w:val="24"/>
        </w:rPr>
      </w:pPr>
    </w:p>
    <w:p>
      <w:pPr>
        <w:spacing w:after="0" w:line="240" w:lineRule="auto"/>
        <w:ind w:firstLine="706"/>
        <w:jc w:val="both"/>
        <w:rPr>
          <w:sz w:val="24"/>
          <w:szCs w:val="24"/>
        </w:rPr>
      </w:pPr>
      <w:r>
        <w:rPr>
          <w:b/>
          <w:bCs/>
          <w:sz w:val="24"/>
          <w:szCs w:val="24"/>
        </w:rPr>
        <w:t>ART. III.</w:t>
      </w:r>
      <w:r>
        <w:rPr>
          <w:sz w:val="24"/>
          <w:szCs w:val="24"/>
        </w:rPr>
        <w:t xml:space="preserve"> - Oficiul Național al Registrului Comerțului, oficiile registrului comerțului de pe lângă tribunale, structurile competente din cadrul Agenţiei Naţionale de Administrare Fiscală, inclusiv Direcţia generală de administrare a marilor contribuabili, direcţiile generale regionale ale finanţelor publice şi unităţile fiscale subordonate acestora vor duce la îndeplinire prevederile prezentului ordin.</w:t>
      </w:r>
    </w:p>
    <w:p>
      <w:pPr>
        <w:pStyle w:val="13"/>
        <w:spacing w:before="0" w:beforeAutospacing="0" w:after="0" w:line="240" w:lineRule="auto"/>
        <w:jc w:val="both"/>
        <w:rPr>
          <w:sz w:val="24"/>
          <w:szCs w:val="24"/>
        </w:rPr>
      </w:pPr>
    </w:p>
    <w:p>
      <w:pPr>
        <w:pStyle w:val="13"/>
        <w:spacing w:before="0" w:beforeAutospacing="0" w:after="0" w:line="240" w:lineRule="auto"/>
        <w:ind w:firstLine="700"/>
        <w:jc w:val="both"/>
        <w:rPr>
          <w:sz w:val="24"/>
          <w:szCs w:val="24"/>
        </w:rPr>
      </w:pPr>
    </w:p>
    <w:p>
      <w:pPr>
        <w:pStyle w:val="13"/>
        <w:spacing w:before="0" w:beforeAutospacing="0" w:after="0" w:line="240" w:lineRule="auto"/>
        <w:ind w:firstLine="700"/>
        <w:jc w:val="both"/>
      </w:pPr>
      <w:r>
        <w:rPr>
          <w:sz w:val="24"/>
          <w:szCs w:val="24"/>
        </w:rPr>
        <w:t>Emis la București, în data de          .       .2025</w:t>
      </w:r>
    </w:p>
    <w:p>
      <w:pPr>
        <w:pStyle w:val="13"/>
        <w:spacing w:before="0" w:beforeAutospacing="0" w:after="0" w:line="240" w:lineRule="auto"/>
        <w:ind w:firstLine="700"/>
        <w:jc w:val="both"/>
      </w:pPr>
    </w:p>
    <w:p>
      <w:pPr>
        <w:pStyle w:val="13"/>
        <w:spacing w:before="0" w:beforeAutospacing="0" w:after="0" w:line="240" w:lineRule="auto"/>
        <w:ind w:firstLine="700"/>
        <w:jc w:val="both"/>
      </w:pPr>
    </w:p>
    <w:p>
      <w:pPr>
        <w:pStyle w:val="13"/>
        <w:spacing w:before="0" w:beforeAutospacing="0" w:after="0" w:line="240" w:lineRule="auto"/>
        <w:jc w:val="both"/>
      </w:pPr>
    </w:p>
    <w:tbl>
      <w:tblPr>
        <w:tblStyle w:val="3"/>
        <w:tblpPr w:leftFromText="180" w:rightFromText="180" w:vertAnchor="text" w:horzAnchor="margin" w:tblpY="166"/>
        <w:tblW w:w="9856" w:type="dxa"/>
        <w:tblInd w:w="0" w:type="dxa"/>
        <w:tblLayout w:type="fixed"/>
        <w:tblCellMar>
          <w:top w:w="0" w:type="dxa"/>
          <w:left w:w="108" w:type="dxa"/>
          <w:bottom w:w="0" w:type="dxa"/>
          <w:right w:w="108" w:type="dxa"/>
        </w:tblCellMar>
      </w:tblPr>
      <w:tblGrid>
        <w:gridCol w:w="4928"/>
        <w:gridCol w:w="4928"/>
      </w:tblGrid>
      <w:tr>
        <w:tblPrEx>
          <w:tblCellMar>
            <w:top w:w="0" w:type="dxa"/>
            <w:left w:w="108" w:type="dxa"/>
            <w:bottom w:w="0" w:type="dxa"/>
            <w:right w:w="108" w:type="dxa"/>
          </w:tblCellMar>
        </w:tblPrEx>
        <w:trPr>
          <w:trHeight w:val="1474" w:hRule="atLeast"/>
        </w:trPr>
        <w:tc>
          <w:tcPr>
            <w:tcW w:w="4928" w:type="dxa"/>
          </w:tcPr>
          <w:p>
            <w:pPr>
              <w:autoSpaceDE w:val="0"/>
              <w:autoSpaceDN w:val="0"/>
              <w:adjustRightInd w:val="0"/>
              <w:spacing w:after="0" w:line="240" w:lineRule="auto"/>
              <w:jc w:val="center"/>
              <w:rPr>
                <w:b/>
                <w:sz w:val="24"/>
                <w:szCs w:val="24"/>
                <w:lang w:eastAsia="ro-RO"/>
              </w:rPr>
            </w:pPr>
            <w:r>
              <w:rPr>
                <w:b/>
                <w:sz w:val="24"/>
                <w:szCs w:val="24"/>
                <w:lang w:eastAsia="ro-RO"/>
              </w:rPr>
              <w:t>Președintele Agenției Naționale de Administrare Fiscală</w:t>
            </w:r>
          </w:p>
          <w:p>
            <w:pPr>
              <w:autoSpaceDE w:val="0"/>
              <w:autoSpaceDN w:val="0"/>
              <w:adjustRightInd w:val="0"/>
              <w:spacing w:after="0" w:line="240" w:lineRule="auto"/>
              <w:jc w:val="center"/>
              <w:rPr>
                <w:b/>
                <w:sz w:val="24"/>
                <w:szCs w:val="24"/>
                <w:lang w:eastAsia="ro-RO"/>
              </w:rPr>
            </w:pPr>
          </w:p>
          <w:p>
            <w:pPr>
              <w:autoSpaceDE w:val="0"/>
              <w:autoSpaceDN w:val="0"/>
              <w:adjustRightInd w:val="0"/>
              <w:spacing w:after="0" w:line="240" w:lineRule="auto"/>
              <w:jc w:val="center"/>
              <w:rPr>
                <w:b/>
                <w:sz w:val="24"/>
                <w:szCs w:val="24"/>
                <w:lang w:val="en-US" w:eastAsia="ro-RO"/>
              </w:rPr>
            </w:pPr>
            <w:r>
              <w:rPr>
                <w:b/>
                <w:sz w:val="24"/>
                <w:szCs w:val="24"/>
                <w:lang w:val="en-US" w:eastAsia="ro-RO"/>
              </w:rPr>
              <w:t xml:space="preserve">Adrian Nicușor NICA </w:t>
            </w:r>
          </w:p>
        </w:tc>
        <w:tc>
          <w:tcPr>
            <w:tcW w:w="4928" w:type="dxa"/>
          </w:tcPr>
          <w:p>
            <w:pPr>
              <w:autoSpaceDE w:val="0"/>
              <w:autoSpaceDN w:val="0"/>
              <w:adjustRightInd w:val="0"/>
              <w:spacing w:after="0" w:line="240" w:lineRule="auto"/>
              <w:jc w:val="center"/>
              <w:rPr>
                <w:b/>
                <w:sz w:val="24"/>
                <w:szCs w:val="24"/>
                <w:lang w:eastAsia="ro-RO"/>
              </w:rPr>
            </w:pPr>
            <w:r>
              <w:rPr>
                <w:b/>
                <w:sz w:val="24"/>
                <w:szCs w:val="24"/>
                <w:lang w:eastAsia="ro-RO"/>
              </w:rPr>
              <w:t>Ministrul Justiției</w:t>
            </w:r>
          </w:p>
          <w:p>
            <w:pPr>
              <w:autoSpaceDE w:val="0"/>
              <w:autoSpaceDN w:val="0"/>
              <w:adjustRightInd w:val="0"/>
              <w:spacing w:after="0" w:line="240" w:lineRule="auto"/>
              <w:jc w:val="both"/>
              <w:rPr>
                <w:b/>
                <w:sz w:val="24"/>
                <w:szCs w:val="24"/>
                <w:lang w:eastAsia="ro-RO"/>
              </w:rPr>
            </w:pPr>
          </w:p>
          <w:p>
            <w:pPr>
              <w:autoSpaceDE w:val="0"/>
              <w:autoSpaceDN w:val="0"/>
              <w:adjustRightInd w:val="0"/>
              <w:spacing w:after="0" w:line="240" w:lineRule="auto"/>
              <w:jc w:val="both"/>
              <w:rPr>
                <w:b/>
                <w:sz w:val="24"/>
                <w:szCs w:val="24"/>
                <w:lang w:eastAsia="ro-RO"/>
              </w:rPr>
            </w:pPr>
          </w:p>
          <w:p>
            <w:pPr>
              <w:jc w:val="center"/>
              <w:rPr>
                <w:b/>
                <w:sz w:val="24"/>
                <w:szCs w:val="24"/>
                <w:lang w:val="en-US" w:eastAsia="ro-RO"/>
              </w:rPr>
            </w:pPr>
            <w:r>
              <w:rPr>
                <w:b/>
                <w:sz w:val="24"/>
                <w:szCs w:val="24"/>
                <w:lang w:val="en-US" w:eastAsia="ro-RO"/>
              </w:rPr>
              <w:t>Radu MARINESCU</w:t>
            </w:r>
          </w:p>
        </w:tc>
      </w:tr>
    </w:tbl>
    <w:p>
      <w:pPr>
        <w:pStyle w:val="13"/>
        <w:spacing w:before="0" w:beforeAutospacing="0" w:after="0"/>
        <w:jc w:val="both"/>
        <w:rPr>
          <w:sz w:val="24"/>
          <w:szCs w:val="24"/>
        </w:rPr>
      </w:pPr>
    </w:p>
    <w:p>
      <w:pPr>
        <w:pStyle w:val="13"/>
        <w:spacing w:before="0" w:beforeAutospacing="0" w:after="0"/>
        <w:jc w:val="both"/>
        <w:rPr>
          <w:sz w:val="24"/>
          <w:szCs w:val="24"/>
        </w:rPr>
      </w:pPr>
    </w:p>
    <w:p>
      <w:pPr>
        <w:pStyle w:val="13"/>
        <w:spacing w:before="0" w:beforeAutospacing="0" w:after="0"/>
        <w:jc w:val="both"/>
        <w:rPr>
          <w:sz w:val="24"/>
          <w:szCs w:val="24"/>
        </w:rPr>
      </w:pPr>
    </w:p>
    <w:sectPr>
      <w:headerReference r:id="rId5" w:type="default"/>
      <w:pgSz w:w="11906" w:h="16838"/>
      <w:pgMar w:top="537" w:right="849" w:bottom="567" w:left="1417" w:header="708" w:footer="708"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Arial Narrow">
    <w:panose1 w:val="020B0606020202030204"/>
    <w:charset w:val="00"/>
    <w:family w:val="swiss"/>
    <w:pitch w:val="default"/>
    <w:sig w:usb0="00000287" w:usb1="00000800" w:usb2="00000000" w:usb3="00000000" w:csb0="200000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rPr>
        <w:sz w:val="18"/>
      </w:rPr>
      <w:pict>
        <v:shape id="PowerPlusWaterMarkObject22346" o:spid="_x0000_s2049" o:spt="136" type="#_x0000_t136" style="position:absolute;left:0pt;height:151.45pt;width:435.8pt;mso-position-horizontal:center;mso-position-horizontal-relative:margin;mso-position-vertical:center;mso-position-vertical-relative:margin;rotation:-2949120f;z-index:-251657216;mso-width-relative:page;mso-height-relative:page;" fillcolor="#C0C0C0" filled="t" stroked="f" coordsize="21600,21600" adj="10800">
          <v:path/>
          <v:fill on="t" opacity="32768f" focussize="0,0"/>
          <v:stroke on="f"/>
          <v:imagedata o:title=""/>
          <o:lock v:ext="edit" aspectratio="t"/>
          <v:textpath on="t" fitshape="t" fitpath="t" trim="t" xscale="f" string="PROIECT" style="font-family:Segoe UI;font-size:36pt;v-same-letter-heights:f;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7711A10"/>
    <w:multiLevelType w:val="singleLevel"/>
    <w:tmpl w:val="B7711A10"/>
    <w:lvl w:ilvl="0" w:tentative="0">
      <w:start w:val="1"/>
      <w:numFmt w:val="decimal"/>
      <w:suff w:val="space"/>
      <w:lvlText w:val="%1."/>
      <w:lvlJc w:val="left"/>
      <w:rPr>
        <w:rFonts w:hint="default"/>
        <w:b/>
        <w:bC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708"/>
  <w:hyphenationZone w:val="425"/>
  <w:noPunctuationKerning w:val="1"/>
  <w:characterSpacingControl w:val="doNotCompress"/>
  <w:hdrShapeDefaults>
    <o:shapelayout v:ext="edit">
      <o:idmap v:ext="edit" data="2"/>
    </o:shapelayout>
  </w:hdrShapeDefaults>
  <w:footnotePr>
    <w:footnote w:id="0"/>
    <w:footnote w:id="1"/>
  </w:footnotePr>
  <w:endnotePr>
    <w:endnote w:id="0"/>
    <w:endnote w:id="1"/>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310D2"/>
    <w:rsid w:val="00045B0C"/>
    <w:rsid w:val="00050610"/>
    <w:rsid w:val="00091FE4"/>
    <w:rsid w:val="000C30FE"/>
    <w:rsid w:val="000C3D4D"/>
    <w:rsid w:val="000E344C"/>
    <w:rsid w:val="001031D9"/>
    <w:rsid w:val="00112A65"/>
    <w:rsid w:val="001178C8"/>
    <w:rsid w:val="00122FED"/>
    <w:rsid w:val="00134684"/>
    <w:rsid w:val="0016180E"/>
    <w:rsid w:val="00172A27"/>
    <w:rsid w:val="00180806"/>
    <w:rsid w:val="00186593"/>
    <w:rsid w:val="00186618"/>
    <w:rsid w:val="00192D47"/>
    <w:rsid w:val="001A22EB"/>
    <w:rsid w:val="001D2828"/>
    <w:rsid w:val="001E53B9"/>
    <w:rsid w:val="001F429A"/>
    <w:rsid w:val="0020047A"/>
    <w:rsid w:val="0023623E"/>
    <w:rsid w:val="00276D50"/>
    <w:rsid w:val="002A0D3C"/>
    <w:rsid w:val="002A7C38"/>
    <w:rsid w:val="002C0FDC"/>
    <w:rsid w:val="002E533D"/>
    <w:rsid w:val="002F29B5"/>
    <w:rsid w:val="003010E5"/>
    <w:rsid w:val="00331A97"/>
    <w:rsid w:val="00337622"/>
    <w:rsid w:val="00342DC6"/>
    <w:rsid w:val="00347557"/>
    <w:rsid w:val="00366491"/>
    <w:rsid w:val="0037790D"/>
    <w:rsid w:val="003A0386"/>
    <w:rsid w:val="003B091F"/>
    <w:rsid w:val="003B735C"/>
    <w:rsid w:val="003B795A"/>
    <w:rsid w:val="003C2223"/>
    <w:rsid w:val="003E207C"/>
    <w:rsid w:val="0040267F"/>
    <w:rsid w:val="004066A8"/>
    <w:rsid w:val="00435102"/>
    <w:rsid w:val="00452F49"/>
    <w:rsid w:val="00473F44"/>
    <w:rsid w:val="00475F3A"/>
    <w:rsid w:val="00484CCA"/>
    <w:rsid w:val="004926D5"/>
    <w:rsid w:val="00493CA7"/>
    <w:rsid w:val="004A4679"/>
    <w:rsid w:val="004A4841"/>
    <w:rsid w:val="004A68C8"/>
    <w:rsid w:val="004C0BC0"/>
    <w:rsid w:val="004C34DC"/>
    <w:rsid w:val="004C3DAA"/>
    <w:rsid w:val="004E3969"/>
    <w:rsid w:val="004F4864"/>
    <w:rsid w:val="0050608E"/>
    <w:rsid w:val="005075F9"/>
    <w:rsid w:val="00513E60"/>
    <w:rsid w:val="0053212F"/>
    <w:rsid w:val="00544222"/>
    <w:rsid w:val="005443C5"/>
    <w:rsid w:val="00546566"/>
    <w:rsid w:val="00566719"/>
    <w:rsid w:val="00572452"/>
    <w:rsid w:val="005757A5"/>
    <w:rsid w:val="005B5653"/>
    <w:rsid w:val="005B5BF6"/>
    <w:rsid w:val="005B77D5"/>
    <w:rsid w:val="005D3E22"/>
    <w:rsid w:val="006145CD"/>
    <w:rsid w:val="00642F2C"/>
    <w:rsid w:val="0066543F"/>
    <w:rsid w:val="00673E99"/>
    <w:rsid w:val="006B17E7"/>
    <w:rsid w:val="006B7349"/>
    <w:rsid w:val="006C06D6"/>
    <w:rsid w:val="006F28B3"/>
    <w:rsid w:val="006F2A4F"/>
    <w:rsid w:val="00713FBF"/>
    <w:rsid w:val="0074747F"/>
    <w:rsid w:val="00754768"/>
    <w:rsid w:val="00760011"/>
    <w:rsid w:val="00762DB6"/>
    <w:rsid w:val="007749C1"/>
    <w:rsid w:val="00776E38"/>
    <w:rsid w:val="00786C29"/>
    <w:rsid w:val="007918A9"/>
    <w:rsid w:val="00795414"/>
    <w:rsid w:val="00796E83"/>
    <w:rsid w:val="007A2D13"/>
    <w:rsid w:val="007A64B1"/>
    <w:rsid w:val="007A71D6"/>
    <w:rsid w:val="007B0FB4"/>
    <w:rsid w:val="007C325C"/>
    <w:rsid w:val="007D5167"/>
    <w:rsid w:val="007F447E"/>
    <w:rsid w:val="007F6D3C"/>
    <w:rsid w:val="0080327A"/>
    <w:rsid w:val="00805481"/>
    <w:rsid w:val="00805F47"/>
    <w:rsid w:val="00820D42"/>
    <w:rsid w:val="0084361C"/>
    <w:rsid w:val="008441DA"/>
    <w:rsid w:val="008519BA"/>
    <w:rsid w:val="0085243E"/>
    <w:rsid w:val="008571F3"/>
    <w:rsid w:val="00860617"/>
    <w:rsid w:val="00861F7B"/>
    <w:rsid w:val="00876664"/>
    <w:rsid w:val="00891018"/>
    <w:rsid w:val="0089505A"/>
    <w:rsid w:val="008B53C6"/>
    <w:rsid w:val="008B64C7"/>
    <w:rsid w:val="008C2A33"/>
    <w:rsid w:val="008D1BE1"/>
    <w:rsid w:val="008D4D59"/>
    <w:rsid w:val="008E0B70"/>
    <w:rsid w:val="008E5A0C"/>
    <w:rsid w:val="008F1890"/>
    <w:rsid w:val="00912879"/>
    <w:rsid w:val="009320EE"/>
    <w:rsid w:val="00940771"/>
    <w:rsid w:val="00964C70"/>
    <w:rsid w:val="0096763D"/>
    <w:rsid w:val="00972906"/>
    <w:rsid w:val="0098025E"/>
    <w:rsid w:val="009B25B1"/>
    <w:rsid w:val="009B712B"/>
    <w:rsid w:val="009D7C4C"/>
    <w:rsid w:val="009E0574"/>
    <w:rsid w:val="009E243E"/>
    <w:rsid w:val="009E47E4"/>
    <w:rsid w:val="00A103D0"/>
    <w:rsid w:val="00A10B54"/>
    <w:rsid w:val="00A1369A"/>
    <w:rsid w:val="00A20F87"/>
    <w:rsid w:val="00A31579"/>
    <w:rsid w:val="00A45ADC"/>
    <w:rsid w:val="00A6156C"/>
    <w:rsid w:val="00A83EC9"/>
    <w:rsid w:val="00A9057E"/>
    <w:rsid w:val="00A90854"/>
    <w:rsid w:val="00AA2F49"/>
    <w:rsid w:val="00AB2EC6"/>
    <w:rsid w:val="00AB451F"/>
    <w:rsid w:val="00AC03B2"/>
    <w:rsid w:val="00AD3DB5"/>
    <w:rsid w:val="00AD7DFA"/>
    <w:rsid w:val="00AF7D37"/>
    <w:rsid w:val="00B07EAE"/>
    <w:rsid w:val="00B171EB"/>
    <w:rsid w:val="00B24690"/>
    <w:rsid w:val="00B24968"/>
    <w:rsid w:val="00B40363"/>
    <w:rsid w:val="00B7041F"/>
    <w:rsid w:val="00B747E3"/>
    <w:rsid w:val="00BA43A4"/>
    <w:rsid w:val="00BA482F"/>
    <w:rsid w:val="00BA49E9"/>
    <w:rsid w:val="00BA6090"/>
    <w:rsid w:val="00BF45E6"/>
    <w:rsid w:val="00BF77D5"/>
    <w:rsid w:val="00C032B5"/>
    <w:rsid w:val="00C25772"/>
    <w:rsid w:val="00C34595"/>
    <w:rsid w:val="00C3583A"/>
    <w:rsid w:val="00C40AEC"/>
    <w:rsid w:val="00C55672"/>
    <w:rsid w:val="00C92AAD"/>
    <w:rsid w:val="00C96CF2"/>
    <w:rsid w:val="00CA3F74"/>
    <w:rsid w:val="00CD13BB"/>
    <w:rsid w:val="00CF4693"/>
    <w:rsid w:val="00CF73AA"/>
    <w:rsid w:val="00D2536B"/>
    <w:rsid w:val="00D413B8"/>
    <w:rsid w:val="00D672CA"/>
    <w:rsid w:val="00D74CA8"/>
    <w:rsid w:val="00D753C8"/>
    <w:rsid w:val="00D76933"/>
    <w:rsid w:val="00DC1566"/>
    <w:rsid w:val="00DC3344"/>
    <w:rsid w:val="00DE042E"/>
    <w:rsid w:val="00DE320D"/>
    <w:rsid w:val="00DE508D"/>
    <w:rsid w:val="00DE64C7"/>
    <w:rsid w:val="00DE7833"/>
    <w:rsid w:val="00DF1984"/>
    <w:rsid w:val="00E21174"/>
    <w:rsid w:val="00E21F13"/>
    <w:rsid w:val="00E32350"/>
    <w:rsid w:val="00E338EE"/>
    <w:rsid w:val="00E512EA"/>
    <w:rsid w:val="00E51548"/>
    <w:rsid w:val="00E54134"/>
    <w:rsid w:val="00E55D2F"/>
    <w:rsid w:val="00E72F15"/>
    <w:rsid w:val="00E74882"/>
    <w:rsid w:val="00E80C50"/>
    <w:rsid w:val="00E94605"/>
    <w:rsid w:val="00EA4848"/>
    <w:rsid w:val="00EB0D92"/>
    <w:rsid w:val="00ED0177"/>
    <w:rsid w:val="00ED369D"/>
    <w:rsid w:val="00F128C6"/>
    <w:rsid w:val="00F427A8"/>
    <w:rsid w:val="00F54252"/>
    <w:rsid w:val="00F57B78"/>
    <w:rsid w:val="00F746FE"/>
    <w:rsid w:val="00FC77D0"/>
    <w:rsid w:val="00FD03A9"/>
    <w:rsid w:val="00FD3639"/>
    <w:rsid w:val="00FD4AB9"/>
    <w:rsid w:val="014A0387"/>
    <w:rsid w:val="024C1239"/>
    <w:rsid w:val="03332847"/>
    <w:rsid w:val="038E34C6"/>
    <w:rsid w:val="05CE6541"/>
    <w:rsid w:val="05FB5545"/>
    <w:rsid w:val="06651B4C"/>
    <w:rsid w:val="06D41514"/>
    <w:rsid w:val="071E4018"/>
    <w:rsid w:val="073E2F32"/>
    <w:rsid w:val="081D147D"/>
    <w:rsid w:val="08204922"/>
    <w:rsid w:val="08343C97"/>
    <w:rsid w:val="08706A05"/>
    <w:rsid w:val="09BF1831"/>
    <w:rsid w:val="0A0872B8"/>
    <w:rsid w:val="0CD1001C"/>
    <w:rsid w:val="0DC3659B"/>
    <w:rsid w:val="0E245491"/>
    <w:rsid w:val="0EE20A14"/>
    <w:rsid w:val="0EFE57F0"/>
    <w:rsid w:val="0F8E1735"/>
    <w:rsid w:val="1083406C"/>
    <w:rsid w:val="14B43DB9"/>
    <w:rsid w:val="15FD4B40"/>
    <w:rsid w:val="167365B5"/>
    <w:rsid w:val="174702D7"/>
    <w:rsid w:val="17815739"/>
    <w:rsid w:val="18095B43"/>
    <w:rsid w:val="181C6D32"/>
    <w:rsid w:val="18DD54B1"/>
    <w:rsid w:val="1944474E"/>
    <w:rsid w:val="19543D19"/>
    <w:rsid w:val="1A5909C3"/>
    <w:rsid w:val="1A986A94"/>
    <w:rsid w:val="1A9B3FC3"/>
    <w:rsid w:val="1B004856"/>
    <w:rsid w:val="1DA43915"/>
    <w:rsid w:val="1E551253"/>
    <w:rsid w:val="1F793483"/>
    <w:rsid w:val="221926CF"/>
    <w:rsid w:val="22AD5A88"/>
    <w:rsid w:val="22E936DE"/>
    <w:rsid w:val="244049DC"/>
    <w:rsid w:val="24441F0A"/>
    <w:rsid w:val="265F1AB1"/>
    <w:rsid w:val="284062E9"/>
    <w:rsid w:val="29111BA7"/>
    <w:rsid w:val="2A317B04"/>
    <w:rsid w:val="2AA60A64"/>
    <w:rsid w:val="2C5A3672"/>
    <w:rsid w:val="2C5C09BB"/>
    <w:rsid w:val="2C6B6F90"/>
    <w:rsid w:val="2D046A3D"/>
    <w:rsid w:val="2D224B95"/>
    <w:rsid w:val="2D890658"/>
    <w:rsid w:val="2DD34D35"/>
    <w:rsid w:val="2E8A1A9A"/>
    <w:rsid w:val="2EED40B4"/>
    <w:rsid w:val="2F9E6C6D"/>
    <w:rsid w:val="30351478"/>
    <w:rsid w:val="30C81D09"/>
    <w:rsid w:val="31F319E4"/>
    <w:rsid w:val="32354BD7"/>
    <w:rsid w:val="334C51CF"/>
    <w:rsid w:val="336D48B8"/>
    <w:rsid w:val="33BA0A5E"/>
    <w:rsid w:val="34BA261D"/>
    <w:rsid w:val="34CC6255"/>
    <w:rsid w:val="35CE46E3"/>
    <w:rsid w:val="361C3086"/>
    <w:rsid w:val="361C73C2"/>
    <w:rsid w:val="367374F4"/>
    <w:rsid w:val="383A01D3"/>
    <w:rsid w:val="3A227271"/>
    <w:rsid w:val="3A2E5ABB"/>
    <w:rsid w:val="3A554019"/>
    <w:rsid w:val="3A9C6055"/>
    <w:rsid w:val="3AC85D41"/>
    <w:rsid w:val="3B4108EC"/>
    <w:rsid w:val="3EB41883"/>
    <w:rsid w:val="3F17699D"/>
    <w:rsid w:val="3F6A7F4A"/>
    <w:rsid w:val="40EF70CA"/>
    <w:rsid w:val="42080DD9"/>
    <w:rsid w:val="427F6C18"/>
    <w:rsid w:val="431E4ACB"/>
    <w:rsid w:val="432F4E9E"/>
    <w:rsid w:val="443702EA"/>
    <w:rsid w:val="45966EB8"/>
    <w:rsid w:val="460F3873"/>
    <w:rsid w:val="464A0967"/>
    <w:rsid w:val="46C018B9"/>
    <w:rsid w:val="47A010CD"/>
    <w:rsid w:val="47C8735B"/>
    <w:rsid w:val="48E6636E"/>
    <w:rsid w:val="492C4524"/>
    <w:rsid w:val="492D7683"/>
    <w:rsid w:val="497B22D1"/>
    <w:rsid w:val="4A2469A9"/>
    <w:rsid w:val="4A4362F5"/>
    <w:rsid w:val="4AEC2F44"/>
    <w:rsid w:val="4AF20499"/>
    <w:rsid w:val="4AF51482"/>
    <w:rsid w:val="4B6314E6"/>
    <w:rsid w:val="4DE52558"/>
    <w:rsid w:val="4E000EC7"/>
    <w:rsid w:val="4FF351A8"/>
    <w:rsid w:val="504A7375"/>
    <w:rsid w:val="50CD7658"/>
    <w:rsid w:val="516441AD"/>
    <w:rsid w:val="51C74286"/>
    <w:rsid w:val="5311644A"/>
    <w:rsid w:val="53CE0AC5"/>
    <w:rsid w:val="545362E7"/>
    <w:rsid w:val="54EC126F"/>
    <w:rsid w:val="55A76503"/>
    <w:rsid w:val="570A2BD2"/>
    <w:rsid w:val="588E5C9F"/>
    <w:rsid w:val="58C25D57"/>
    <w:rsid w:val="5957782A"/>
    <w:rsid w:val="596668F4"/>
    <w:rsid w:val="5AD47CB2"/>
    <w:rsid w:val="5B8A7F22"/>
    <w:rsid w:val="5C35786A"/>
    <w:rsid w:val="5C6C4713"/>
    <w:rsid w:val="5C73066B"/>
    <w:rsid w:val="5DE0170F"/>
    <w:rsid w:val="5E7D1863"/>
    <w:rsid w:val="5F5F3D65"/>
    <w:rsid w:val="5FBE0269"/>
    <w:rsid w:val="61841108"/>
    <w:rsid w:val="61FA3252"/>
    <w:rsid w:val="62487DCC"/>
    <w:rsid w:val="62AA1180"/>
    <w:rsid w:val="638F1E77"/>
    <w:rsid w:val="65055FF8"/>
    <w:rsid w:val="652146E4"/>
    <w:rsid w:val="65F379EC"/>
    <w:rsid w:val="6605504A"/>
    <w:rsid w:val="6696799A"/>
    <w:rsid w:val="66C16610"/>
    <w:rsid w:val="66D93581"/>
    <w:rsid w:val="69096CCB"/>
    <w:rsid w:val="697E07DD"/>
    <w:rsid w:val="6AD727B0"/>
    <w:rsid w:val="6B381C6C"/>
    <w:rsid w:val="6BF204D1"/>
    <w:rsid w:val="6CB52CD3"/>
    <w:rsid w:val="6F9B6F51"/>
    <w:rsid w:val="718F373C"/>
    <w:rsid w:val="73A159D1"/>
    <w:rsid w:val="76491CC8"/>
    <w:rsid w:val="76D8295F"/>
    <w:rsid w:val="77455053"/>
    <w:rsid w:val="787263B3"/>
    <w:rsid w:val="78727E94"/>
    <w:rsid w:val="78804209"/>
    <w:rsid w:val="7C041021"/>
    <w:rsid w:val="7C11764A"/>
    <w:rsid w:val="7C230BDC"/>
    <w:rsid w:val="7F015A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qFormat="1" w:unhideWhenUsed="0" w:uiPriority="0"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name="footnote reference"/>
    <w:lsdException w:qFormat="1" w:unhideWhenUsed="0" w:uiPriority="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nhideWhenUsed="0"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imes New Roman" w:hAnsi="Times New Roman" w:eastAsia="Times New Roman" w:cs="Times New Roman"/>
      <w:sz w:val="22"/>
      <w:szCs w:val="22"/>
      <w:lang w:val="ro-RO" w:eastAsia="en-US"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4">
    <w:name w:val="Balloon Text"/>
    <w:basedOn w:val="1"/>
    <w:link w:val="20"/>
    <w:unhideWhenUsed/>
    <w:qFormat/>
    <w:uiPriority w:val="99"/>
    <w:pPr>
      <w:spacing w:after="0" w:line="240" w:lineRule="auto"/>
    </w:pPr>
    <w:rPr>
      <w:rFonts w:ascii="Tahoma" w:hAnsi="Tahoma" w:cs="Tahoma"/>
      <w:sz w:val="16"/>
      <w:szCs w:val="16"/>
    </w:rPr>
  </w:style>
  <w:style w:type="character" w:styleId="5">
    <w:name w:val="annotation reference"/>
    <w:semiHidden/>
    <w:qFormat/>
    <w:uiPriority w:val="0"/>
    <w:rPr>
      <w:sz w:val="16"/>
      <w:szCs w:val="16"/>
    </w:rPr>
  </w:style>
  <w:style w:type="paragraph" w:styleId="6">
    <w:name w:val="annotation text"/>
    <w:basedOn w:val="1"/>
    <w:semiHidden/>
    <w:qFormat/>
    <w:uiPriority w:val="0"/>
    <w:rPr>
      <w:sz w:val="20"/>
      <w:szCs w:val="20"/>
    </w:rPr>
  </w:style>
  <w:style w:type="paragraph" w:styleId="7">
    <w:name w:val="annotation subject"/>
    <w:basedOn w:val="6"/>
    <w:next w:val="6"/>
    <w:semiHidden/>
    <w:qFormat/>
    <w:uiPriority w:val="0"/>
    <w:rPr>
      <w:b/>
      <w:bCs/>
    </w:rPr>
  </w:style>
  <w:style w:type="paragraph" w:styleId="8">
    <w:name w:val="footer"/>
    <w:basedOn w:val="1"/>
    <w:semiHidden/>
    <w:unhideWhenUsed/>
    <w:uiPriority w:val="99"/>
    <w:pPr>
      <w:tabs>
        <w:tab w:val="center" w:pos="4153"/>
        <w:tab w:val="right" w:pos="8306"/>
      </w:tabs>
      <w:snapToGrid w:val="0"/>
      <w:jc w:val="left"/>
    </w:pPr>
    <w:rPr>
      <w:sz w:val="18"/>
      <w:szCs w:val="18"/>
    </w:rPr>
  </w:style>
  <w:style w:type="character" w:styleId="9">
    <w:name w:val="footnote reference"/>
    <w:semiHidden/>
    <w:qFormat/>
    <w:uiPriority w:val="0"/>
    <w:rPr>
      <w:vertAlign w:val="superscript"/>
    </w:rPr>
  </w:style>
  <w:style w:type="paragraph" w:styleId="10">
    <w:name w:val="footnote text"/>
    <w:basedOn w:val="1"/>
    <w:semiHidden/>
    <w:qFormat/>
    <w:uiPriority w:val="0"/>
    <w:rPr>
      <w:sz w:val="20"/>
      <w:szCs w:val="20"/>
    </w:rPr>
  </w:style>
  <w:style w:type="paragraph" w:styleId="11">
    <w:name w:val="header"/>
    <w:basedOn w:val="1"/>
    <w:semiHidden/>
    <w:unhideWhenUsed/>
    <w:uiPriority w:val="99"/>
    <w:pPr>
      <w:tabs>
        <w:tab w:val="center" w:pos="4153"/>
        <w:tab w:val="right" w:pos="8306"/>
      </w:tabs>
      <w:snapToGrid w:val="0"/>
    </w:pPr>
    <w:rPr>
      <w:sz w:val="18"/>
      <w:szCs w:val="18"/>
    </w:rPr>
  </w:style>
  <w:style w:type="character" w:styleId="12">
    <w:name w:val="Hyperlink"/>
    <w:unhideWhenUsed/>
    <w:qFormat/>
    <w:uiPriority w:val="99"/>
    <w:rPr>
      <w:color w:val="0000FF"/>
      <w:u w:val="single"/>
    </w:rPr>
  </w:style>
  <w:style w:type="paragraph" w:styleId="13">
    <w:name w:val="Normal (Web)"/>
    <w:basedOn w:val="1"/>
    <w:qFormat/>
    <w:uiPriority w:val="0"/>
    <w:pPr>
      <w:spacing w:before="100" w:beforeAutospacing="1" w:after="120"/>
    </w:pPr>
    <w:rPr>
      <w:lang w:eastAsia="ro-RO"/>
    </w:rPr>
  </w:style>
  <w:style w:type="table" w:styleId="14">
    <w:name w:val="Table Grid"/>
    <w:basedOn w:val="3"/>
    <w:qFormat/>
    <w:uiPriority w:val="0"/>
    <w:pPr>
      <w:spacing w:after="200" w:line="276"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5">
    <w:name w:val="_Style 12"/>
    <w:unhideWhenUsed/>
    <w:qFormat/>
    <w:uiPriority w:val="99"/>
    <w:pPr>
      <w:spacing w:after="160" w:line="259" w:lineRule="auto"/>
    </w:pPr>
    <w:rPr>
      <w:rFonts w:ascii="Times New Roman" w:hAnsi="Times New Roman" w:eastAsia="Times New Roman" w:cs="Times New Roman"/>
      <w:sz w:val="22"/>
      <w:szCs w:val="22"/>
      <w:lang w:val="ro-RO" w:eastAsia="en-US" w:bidi="ar-SA"/>
    </w:rPr>
  </w:style>
  <w:style w:type="paragraph" w:customStyle="1" w:styleId="16">
    <w:name w:val="Default Text"/>
    <w:basedOn w:val="1"/>
    <w:qFormat/>
    <w:uiPriority w:val="99"/>
    <w:rPr>
      <w:sz w:val="24"/>
    </w:rPr>
  </w:style>
  <w:style w:type="paragraph" w:customStyle="1" w:styleId="17">
    <w:name w:val="Caracter Caracter"/>
    <w:basedOn w:val="1"/>
    <w:qFormat/>
    <w:uiPriority w:val="0"/>
    <w:pPr>
      <w:spacing w:after="0" w:line="240" w:lineRule="auto"/>
    </w:pPr>
    <w:rPr>
      <w:sz w:val="24"/>
      <w:szCs w:val="24"/>
      <w:lang w:val="pl-PL" w:eastAsia="pl-PL"/>
    </w:rPr>
  </w:style>
  <w:style w:type="character" w:customStyle="1" w:styleId="18">
    <w:name w:val="tax1"/>
    <w:qFormat/>
    <w:uiPriority w:val="0"/>
    <w:rPr>
      <w:b/>
      <w:bCs/>
      <w:sz w:val="26"/>
      <w:szCs w:val="26"/>
    </w:rPr>
  </w:style>
  <w:style w:type="character" w:customStyle="1" w:styleId="19">
    <w:name w:val="do1"/>
    <w:qFormat/>
    <w:uiPriority w:val="0"/>
    <w:rPr>
      <w:b/>
      <w:bCs/>
      <w:sz w:val="26"/>
      <w:szCs w:val="26"/>
    </w:rPr>
  </w:style>
  <w:style w:type="character" w:customStyle="1" w:styleId="20">
    <w:name w:val="Balloon Text Char"/>
    <w:link w:val="4"/>
    <w:semiHidden/>
    <w:qFormat/>
    <w:uiPriority w:val="99"/>
    <w:rPr>
      <w:rFonts w:ascii="Tahoma" w:hAnsi="Tahoma" w:cs="Tahoma"/>
      <w:sz w:val="16"/>
      <w:szCs w:val="16"/>
    </w:rPr>
  </w:style>
  <w:style w:type="character" w:customStyle="1" w:styleId="21">
    <w:name w:val="tpt1"/>
    <w:basedOn w:val="2"/>
    <w:qFormat/>
    <w:uiPriority w:val="0"/>
  </w:style>
  <w:style w:type="character" w:customStyle="1" w:styleId="22">
    <w:name w:val="p_rzm1"/>
    <w:qFormat/>
    <w:uiPriority w:val="0"/>
    <w:rPr>
      <w:rFonts w:hint="default" w:ascii="Verdana" w:hAnsi="Verdana"/>
      <w:b/>
      <w:bCs/>
      <w:color w:val="000000"/>
      <w:sz w:val="20"/>
      <w:szCs w:val="20"/>
    </w:rPr>
  </w:style>
  <w:style w:type="character" w:customStyle="1" w:styleId="23">
    <w:name w:val="p_par1"/>
    <w:qFormat/>
    <w:uiPriority w:val="0"/>
    <w:rPr>
      <w:rFonts w:hint="default" w:ascii="Verdana" w:hAnsi="Verdana"/>
      <w:sz w:val="20"/>
      <w:szCs w:val="20"/>
    </w:rPr>
  </w:style>
  <w:style w:type="paragraph" w:styleId="24">
    <w:name w:val="List Paragraph"/>
    <w:basedOn w:val="1"/>
    <w:qFormat/>
    <w:uiPriority w:val="99"/>
    <w:pPr>
      <w:ind w:left="720"/>
      <w:contextualSpacing/>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jpe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4146B26-AD49-4C5B-B455-FA56206ABF4D}">
  <ds:schemaRefs/>
</ds:datastoreItem>
</file>

<file path=docProps/app.xml><?xml version="1.0" encoding="utf-8"?>
<Properties xmlns="http://schemas.openxmlformats.org/officeDocument/2006/extended-properties" xmlns:vt="http://schemas.openxmlformats.org/officeDocument/2006/docPropsVTypes">
  <Template>Normal.dotm</Template>
  <Company>Ministerul Finantelor Publice</Company>
  <Pages>2</Pages>
  <Words>812</Words>
  <Characters>4634</Characters>
  <Lines>38</Lines>
  <Paragraphs>10</Paragraphs>
  <TotalTime>0</TotalTime>
  <ScaleCrop>false</ScaleCrop>
  <LinksUpToDate>false</LinksUpToDate>
  <CharactersWithSpaces>5436</CharactersWithSpaces>
  <Application>WPS Office_11.2.0.10426_F1E327BC-269C-435d-A152-05C5408002CA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2012-02-22T13:49:00Z</dcterms:created>
  <dc:creator>carmen.clapa</dc:creator>
  <cp:lastModifiedBy>CH</cp:lastModifiedBy>
  <cp:lastPrinted>2025-10-03T11:07:00Z</cp:lastPrinted>
  <dcterms:modified xsi:type="dcterms:W3CDTF">2025-10-06T08:43:27Z</dcterms:modified>
  <dc:title>MINISTERUL FINANTELOR PUBLICE</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1033-11.2.0.10426</vt:lpwstr>
  </property>
  <property fmtid="{D5CDD505-2E9C-101B-9397-08002B2CF9AE}" pid="3" name="ICV">
    <vt:lpwstr>EAB787FA40664320BAC7FE6A38757B64</vt:lpwstr>
  </property>
</Properties>
</file>